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E3" w:rsidRPr="00F37460" w:rsidRDefault="004906E3" w:rsidP="004906E3">
      <w:pPr>
        <w:pStyle w:val="6"/>
        <w:jc w:val="right"/>
        <w:rPr>
          <w:i/>
          <w:sz w:val="24"/>
          <w:szCs w:val="24"/>
        </w:rPr>
      </w:pPr>
      <w:r w:rsidRPr="00F37460">
        <w:rPr>
          <w:i/>
          <w:sz w:val="24"/>
          <w:szCs w:val="24"/>
        </w:rPr>
        <w:t>Приложение №2 к Порядку открытия и закрытия банковских счетов, счетов по вкладам (депозитам)</w:t>
      </w:r>
      <w:r>
        <w:rPr>
          <w:i/>
          <w:sz w:val="24"/>
          <w:szCs w:val="24"/>
        </w:rPr>
        <w:t>»</w:t>
      </w:r>
    </w:p>
    <w:p w:rsidR="004906E3" w:rsidRPr="00F37460" w:rsidRDefault="004906E3" w:rsidP="004906E3">
      <w:pPr>
        <w:shd w:val="clear" w:color="auto" w:fill="FFFFFF"/>
        <w:spacing w:before="34"/>
        <w:jc w:val="center"/>
        <w:rPr>
          <w:sz w:val="24"/>
          <w:szCs w:val="24"/>
        </w:rPr>
      </w:pPr>
    </w:p>
    <w:p w:rsidR="004906E3" w:rsidRPr="00F37460" w:rsidRDefault="004906E3" w:rsidP="004906E3">
      <w:pPr>
        <w:jc w:val="center"/>
        <w:rPr>
          <w:b/>
          <w:sz w:val="24"/>
          <w:szCs w:val="24"/>
        </w:rPr>
      </w:pPr>
    </w:p>
    <w:p w:rsidR="004906E3" w:rsidRPr="00F37460" w:rsidRDefault="004906E3" w:rsidP="004906E3">
      <w:pPr>
        <w:jc w:val="center"/>
        <w:rPr>
          <w:b/>
          <w:sz w:val="24"/>
          <w:szCs w:val="24"/>
        </w:rPr>
      </w:pPr>
      <w:proofErr w:type="gramStart"/>
      <w:r w:rsidRPr="00F37460">
        <w:rPr>
          <w:b/>
          <w:sz w:val="24"/>
          <w:szCs w:val="24"/>
        </w:rPr>
        <w:t>П</w:t>
      </w:r>
      <w:proofErr w:type="gramEnd"/>
      <w:r w:rsidRPr="00F37460">
        <w:rPr>
          <w:b/>
          <w:sz w:val="24"/>
          <w:szCs w:val="24"/>
        </w:rPr>
        <w:t xml:space="preserve"> Е Р Е Ч Е Н Ь</w:t>
      </w:r>
    </w:p>
    <w:p w:rsidR="004906E3" w:rsidRPr="00F37460" w:rsidRDefault="004906E3" w:rsidP="004906E3">
      <w:pPr>
        <w:ind w:firstLine="709"/>
        <w:jc w:val="center"/>
        <w:rPr>
          <w:b/>
          <w:sz w:val="24"/>
          <w:szCs w:val="24"/>
        </w:rPr>
      </w:pPr>
      <w:r w:rsidRPr="00F37460">
        <w:rPr>
          <w:b/>
          <w:sz w:val="24"/>
          <w:szCs w:val="24"/>
        </w:rPr>
        <w:t xml:space="preserve">документов, необходимых для открытия банковского счета </w:t>
      </w:r>
    </w:p>
    <w:p w:rsidR="004906E3" w:rsidRPr="00F37460" w:rsidRDefault="004906E3" w:rsidP="004906E3">
      <w:pPr>
        <w:ind w:firstLine="709"/>
        <w:jc w:val="center"/>
        <w:rPr>
          <w:b/>
          <w:sz w:val="24"/>
          <w:szCs w:val="24"/>
        </w:rPr>
      </w:pPr>
      <w:r w:rsidRPr="00F37460">
        <w:rPr>
          <w:b/>
          <w:sz w:val="24"/>
          <w:szCs w:val="24"/>
        </w:rPr>
        <w:t>юридическим лицам-нерезидентам в АО  «</w:t>
      </w:r>
      <w:proofErr w:type="spellStart"/>
      <w:r w:rsidRPr="00F37460">
        <w:rPr>
          <w:b/>
          <w:sz w:val="24"/>
          <w:szCs w:val="24"/>
        </w:rPr>
        <w:t>НДБ</w:t>
      </w:r>
      <w:r>
        <w:rPr>
          <w:b/>
          <w:sz w:val="24"/>
          <w:szCs w:val="24"/>
        </w:rPr>
        <w:t>анк</w:t>
      </w:r>
      <w:proofErr w:type="spellEnd"/>
      <w:r w:rsidRPr="00F37460">
        <w:rPr>
          <w:b/>
          <w:sz w:val="24"/>
          <w:szCs w:val="24"/>
        </w:rPr>
        <w:t>»</w:t>
      </w:r>
      <w:r w:rsidRPr="00F37460">
        <w:rPr>
          <w:rStyle w:val="a7"/>
        </w:rPr>
        <w:footnoteReference w:id="1"/>
      </w:r>
    </w:p>
    <w:p w:rsidR="004906E3" w:rsidRPr="00F37460" w:rsidRDefault="004906E3" w:rsidP="004906E3">
      <w:pPr>
        <w:ind w:firstLine="709"/>
        <w:jc w:val="center"/>
        <w:rPr>
          <w:b/>
          <w:sz w:val="24"/>
          <w:szCs w:val="24"/>
        </w:rPr>
      </w:pPr>
    </w:p>
    <w:p w:rsidR="004906E3" w:rsidRPr="00F37460" w:rsidRDefault="004906E3" w:rsidP="004906E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F37460">
        <w:rPr>
          <w:sz w:val="22"/>
          <w:szCs w:val="22"/>
        </w:rPr>
        <w:t>Учредительные документы (устав или иной документ, подтверждающий создание организации), легализованные в посольстве (консульстве) Российской Федерации за границей (с нотариально заверенным переводом на русский язык);</w:t>
      </w:r>
    </w:p>
    <w:p w:rsidR="004906E3" w:rsidRPr="00F37460" w:rsidRDefault="004906E3" w:rsidP="004906E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iCs/>
          <w:sz w:val="22"/>
          <w:szCs w:val="22"/>
        </w:rPr>
      </w:pPr>
      <w:r w:rsidRPr="00F37460">
        <w:rPr>
          <w:iCs/>
          <w:sz w:val="22"/>
          <w:szCs w:val="22"/>
        </w:rPr>
        <w:t>Документы, подтверждающие правовой статус юридического лица, по законодательству страны, на территории которой создано это юридическое лицо, в частности, документы, подтверждающие государственную регистрацию юридического лица,</w:t>
      </w:r>
      <w:r w:rsidRPr="00F37460">
        <w:rPr>
          <w:sz w:val="22"/>
          <w:szCs w:val="22"/>
        </w:rPr>
        <w:t xml:space="preserve"> (Выписка (копия) из торгового реестра);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  <w:tab w:val="num" w:pos="757"/>
        </w:tabs>
        <w:ind w:left="0" w:firstLine="0"/>
        <w:rPr>
          <w:sz w:val="22"/>
          <w:szCs w:val="22"/>
        </w:rPr>
      </w:pPr>
      <w:r w:rsidRPr="00F37460">
        <w:rPr>
          <w:sz w:val="22"/>
          <w:szCs w:val="22"/>
        </w:rPr>
        <w:t>Свидетельство о постановке на учет в налоговом органе либо документ, выдаваемый налоговым органом в случаях, предусмотренных законодательством РФ, в целях открытия банковского счета (документ с указанием кода иностранной организации - КИО);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z w:val="22"/>
          <w:szCs w:val="22"/>
        </w:rPr>
      </w:pPr>
      <w:proofErr w:type="gramStart"/>
      <w:r w:rsidRPr="00F37460">
        <w:rPr>
          <w:sz w:val="22"/>
          <w:szCs w:val="22"/>
        </w:rPr>
        <w:t>Лицензии (разрешения), выданные юридическому лицу в установленном законодательством РФ в порядке на право осуществления деятельности, подлежащей лицензированию  или письмо об осуществлении не лицензируемой деятельности;</w:t>
      </w:r>
      <w:proofErr w:type="gramEnd"/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  <w:tab w:val="num" w:pos="757"/>
        </w:tabs>
        <w:ind w:left="0" w:firstLine="0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Документы, подтверждающие адрес местонахождения юридического лица как адрес постоянно действующего исполнительного органа;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  <w:tab w:val="num" w:pos="757"/>
        </w:tabs>
        <w:ind w:left="0" w:firstLine="0"/>
        <w:rPr>
          <w:snapToGrid w:val="0"/>
          <w:sz w:val="22"/>
          <w:szCs w:val="22"/>
        </w:rPr>
      </w:pPr>
      <w:r w:rsidRPr="00F37460">
        <w:rPr>
          <w:snapToGrid w:val="0"/>
          <w:sz w:val="22"/>
          <w:szCs w:val="22"/>
        </w:rPr>
        <w:t>Документы, подтверждающие полномочия единоличного исполнительного органа (руководителя) юридического лица</w:t>
      </w:r>
      <w:r w:rsidRPr="00F37460">
        <w:rPr>
          <w:sz w:val="22"/>
          <w:szCs w:val="22"/>
        </w:rPr>
        <w:t>;</w:t>
      </w:r>
    </w:p>
    <w:p w:rsidR="004906E3" w:rsidRPr="00F37460" w:rsidRDefault="004906E3" w:rsidP="004906E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F37460">
        <w:rPr>
          <w:snapToGrid w:val="0"/>
          <w:sz w:val="22"/>
          <w:szCs w:val="22"/>
        </w:rPr>
        <w:t>Документы, подтверждающие полномочия лиц, указанных в карточке с образцами подписей и оттиска печати</w:t>
      </w:r>
      <w:r w:rsidRPr="00F37460">
        <w:rPr>
          <w:iCs/>
          <w:sz w:val="22"/>
          <w:szCs w:val="22"/>
        </w:rPr>
        <w:t xml:space="preserve"> на распоряжение денежными средствами, находящимися на банковском счете</w:t>
      </w:r>
      <w:r w:rsidRPr="00F37460">
        <w:rPr>
          <w:snapToGrid w:val="0"/>
          <w:sz w:val="22"/>
          <w:szCs w:val="22"/>
        </w:rPr>
        <w:t>: приказ клиента - юридического лица и (или) доверенность о наделении правом первой или второй подписи расчётных документов</w:t>
      </w:r>
      <w:r w:rsidRPr="00F37460">
        <w:rPr>
          <w:sz w:val="22"/>
          <w:szCs w:val="22"/>
        </w:rPr>
        <w:t>;</w:t>
      </w:r>
      <w:r w:rsidRPr="00F37460">
        <w:rPr>
          <w:snapToGrid w:val="0"/>
          <w:sz w:val="22"/>
          <w:szCs w:val="22"/>
        </w:rPr>
        <w:t xml:space="preserve"> </w:t>
      </w:r>
    </w:p>
    <w:p w:rsidR="004906E3" w:rsidRPr="00343E96" w:rsidRDefault="004906E3" w:rsidP="004906E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F37460">
        <w:rPr>
          <w:snapToGrid w:val="0"/>
          <w:sz w:val="22"/>
          <w:szCs w:val="22"/>
        </w:rPr>
        <w:t>Доверенность на заключение договора на открытие счёта, копия документа, удостоверяющего личность, в случае заключения договора об открытии счёта представителем юридического лица</w:t>
      </w:r>
      <w:r w:rsidRPr="00F37460">
        <w:rPr>
          <w:sz w:val="22"/>
          <w:szCs w:val="22"/>
        </w:rPr>
        <w:t>;</w:t>
      </w:r>
    </w:p>
    <w:p w:rsidR="004906E3" w:rsidRPr="00F37460" w:rsidRDefault="004906E3" w:rsidP="004906E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Документы, удостоверяющие личность </w:t>
      </w:r>
      <w:r w:rsidRPr="00F37460">
        <w:rPr>
          <w:sz w:val="22"/>
          <w:szCs w:val="22"/>
        </w:rPr>
        <w:t>лиц, имеющих право подписи (копии страниц, содержащих сведения, необходимые для идентификации)</w:t>
      </w:r>
      <w:r w:rsidRPr="00343E96">
        <w:rPr>
          <w:rStyle w:val="a7"/>
          <w:sz w:val="22"/>
          <w:szCs w:val="22"/>
        </w:rPr>
        <w:t xml:space="preserve"> </w:t>
      </w:r>
      <w:r w:rsidRPr="00F37460">
        <w:rPr>
          <w:rStyle w:val="a7"/>
          <w:sz w:val="22"/>
          <w:szCs w:val="22"/>
        </w:rPr>
        <w:footnoteReference w:id="2"/>
      </w:r>
      <w:r>
        <w:t>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z w:val="22"/>
          <w:szCs w:val="22"/>
        </w:rPr>
      </w:pPr>
      <w:r w:rsidRPr="008E0C4D">
        <w:rPr>
          <w:sz w:val="22"/>
          <w:szCs w:val="22"/>
        </w:rPr>
        <w:lastRenderedPageBreak/>
        <w:t xml:space="preserve">Список участников общества, в свободной форме, заверенный единоличным исполнительным органом, либо Выписка из реестра акционеров, заверенная </w:t>
      </w:r>
      <w:proofErr w:type="spellStart"/>
      <w:r w:rsidRPr="008E0C4D">
        <w:rPr>
          <w:sz w:val="22"/>
          <w:szCs w:val="22"/>
        </w:rPr>
        <w:t>реестродержателем</w:t>
      </w:r>
      <w:proofErr w:type="spellEnd"/>
      <w:r w:rsidRPr="008E0C4D">
        <w:rPr>
          <w:sz w:val="22"/>
          <w:szCs w:val="22"/>
        </w:rPr>
        <w:t xml:space="preserve"> (либо ее копия, заверенная нотариусом), не позднее 30 (тридцати) дней до даты подачи заявления на открытие счета;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z w:val="22"/>
          <w:szCs w:val="22"/>
        </w:rPr>
      </w:pPr>
      <w:r w:rsidRPr="00F37460">
        <w:rPr>
          <w:sz w:val="22"/>
          <w:szCs w:val="22"/>
        </w:rPr>
        <w:t>Опросный лист юридического лица;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z w:val="22"/>
          <w:szCs w:val="22"/>
        </w:rPr>
      </w:pPr>
      <w:r w:rsidRPr="00F37460">
        <w:rPr>
          <w:sz w:val="22"/>
          <w:szCs w:val="22"/>
        </w:rPr>
        <w:t>Опросный лист физического лица (на лиц указанных в карточке);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z w:val="22"/>
          <w:szCs w:val="22"/>
        </w:rPr>
      </w:pPr>
      <w:r w:rsidRPr="00F37460">
        <w:rPr>
          <w:sz w:val="22"/>
          <w:szCs w:val="22"/>
        </w:rPr>
        <w:t xml:space="preserve">Сведения о </w:t>
      </w:r>
      <w:proofErr w:type="spellStart"/>
      <w:r w:rsidRPr="00F37460">
        <w:rPr>
          <w:sz w:val="22"/>
          <w:szCs w:val="22"/>
        </w:rPr>
        <w:t>бенефициарном</w:t>
      </w:r>
      <w:proofErr w:type="spellEnd"/>
      <w:r w:rsidRPr="00F37460">
        <w:rPr>
          <w:sz w:val="22"/>
          <w:szCs w:val="22"/>
        </w:rPr>
        <w:t xml:space="preserve"> владельце;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z w:val="22"/>
          <w:szCs w:val="22"/>
        </w:rPr>
      </w:pPr>
      <w:r w:rsidRPr="00F37460">
        <w:rPr>
          <w:sz w:val="22"/>
          <w:szCs w:val="22"/>
        </w:rPr>
        <w:t>Заявление на открытие банковского счета (по форме, утвержденной Банком);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  <w:tab w:val="num" w:pos="757"/>
        </w:tabs>
        <w:ind w:left="0" w:firstLine="0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Карточку с образцами подписей и оттиска печати по форме, установленной Банком России форме;</w:t>
      </w:r>
      <w:r w:rsidRPr="00F37460">
        <w:rPr>
          <w:snapToGrid w:val="0"/>
          <w:sz w:val="22"/>
          <w:szCs w:val="22"/>
        </w:rPr>
        <w:t xml:space="preserve"> 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  <w:tab w:val="num" w:pos="757"/>
        </w:tabs>
        <w:ind w:left="0" w:firstLine="0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Соглашение о распоряжении счетом;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Подписанный Клиентом договор банковского счета с Банком в 2 (двух) экземплярах (по форме, утвержденной Банком).</w:t>
      </w:r>
    </w:p>
    <w:p w:rsidR="004906E3" w:rsidRPr="00F37460" w:rsidRDefault="004906E3" w:rsidP="004906E3">
      <w:pPr>
        <w:pStyle w:val="a3"/>
        <w:tabs>
          <w:tab w:val="num" w:pos="0"/>
        </w:tabs>
        <w:ind w:firstLine="0"/>
        <w:rPr>
          <w:sz w:val="22"/>
          <w:szCs w:val="22"/>
        </w:rPr>
      </w:pPr>
    </w:p>
    <w:p w:rsidR="004906E3" w:rsidRPr="00F37460" w:rsidRDefault="004906E3" w:rsidP="004906E3">
      <w:pPr>
        <w:pStyle w:val="a3"/>
        <w:tabs>
          <w:tab w:val="num" w:pos="0"/>
        </w:tabs>
        <w:ind w:firstLine="0"/>
        <w:rPr>
          <w:sz w:val="22"/>
          <w:szCs w:val="22"/>
        </w:rPr>
      </w:pPr>
      <w:r w:rsidRPr="00F37460">
        <w:rPr>
          <w:sz w:val="22"/>
          <w:szCs w:val="22"/>
        </w:rPr>
        <w:t>Для филиала и представительства дополнительно предоставляются:</w:t>
      </w:r>
    </w:p>
    <w:p w:rsidR="004906E3" w:rsidRPr="00F37460" w:rsidRDefault="004906E3" w:rsidP="004906E3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Положение о филиале или представительстве;</w:t>
      </w:r>
    </w:p>
    <w:p w:rsidR="004906E3" w:rsidRPr="00F37460" w:rsidRDefault="004906E3" w:rsidP="004906E3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Доверенность юридического лица, выданную руководителю филиала или представительства на открытие и распоряжение счетом;</w:t>
      </w:r>
    </w:p>
    <w:p w:rsidR="004906E3" w:rsidRPr="00F37460" w:rsidRDefault="004906E3" w:rsidP="004906E3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Документы, подтверждающие назначение на должность и полномочия руководителя филиала (представительства);</w:t>
      </w:r>
    </w:p>
    <w:p w:rsidR="004906E3" w:rsidRPr="00F37460" w:rsidRDefault="004906E3" w:rsidP="004906E3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27"/>
        </w:tabs>
        <w:autoSpaceDE w:val="0"/>
        <w:autoSpaceDN w:val="0"/>
        <w:adjustRightInd w:val="0"/>
        <w:ind w:left="0" w:firstLine="0"/>
        <w:contextualSpacing/>
        <w:jc w:val="both"/>
        <w:rPr>
          <w:spacing w:val="-7"/>
          <w:sz w:val="22"/>
          <w:szCs w:val="22"/>
        </w:rPr>
      </w:pPr>
      <w:r w:rsidRPr="00F37460">
        <w:rPr>
          <w:spacing w:val="-1"/>
          <w:sz w:val="22"/>
          <w:szCs w:val="22"/>
        </w:rPr>
        <w:t>Выписки из</w:t>
      </w:r>
      <w:r w:rsidRPr="00F37460">
        <w:rPr>
          <w:smallCaps/>
          <w:spacing w:val="-1"/>
          <w:sz w:val="22"/>
          <w:szCs w:val="22"/>
        </w:rPr>
        <w:t xml:space="preserve"> </w:t>
      </w:r>
      <w:r w:rsidRPr="00F37460">
        <w:rPr>
          <w:spacing w:val="-1"/>
          <w:sz w:val="22"/>
          <w:szCs w:val="22"/>
        </w:rPr>
        <w:t>протоколов, приказы, подтверждающие назначение на соответствующие должности лиц, распоряжающихся счетом Клиента:</w:t>
      </w:r>
    </w:p>
    <w:p w:rsidR="004906E3" w:rsidRPr="00F37460" w:rsidRDefault="004906E3" w:rsidP="004906E3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Доверенность лица, обладающего правом подписи (при наличии), указанного в Карточке с образцами подписей и оттиска печати (оригинал);</w:t>
      </w:r>
    </w:p>
    <w:p w:rsidR="004906E3" w:rsidRPr="00F37460" w:rsidRDefault="004906E3" w:rsidP="004906E3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F37460">
        <w:rPr>
          <w:sz w:val="22"/>
          <w:szCs w:val="22"/>
        </w:rPr>
        <w:t>Доверенность на открытие счета в случае, если счет открывается доверенным лицом (представителем) (оригинал) с приложением копии документа, удостоверяющего личность доверенного лица;</w:t>
      </w:r>
      <w:r w:rsidRPr="00F37460">
        <w:rPr>
          <w:iCs/>
          <w:sz w:val="22"/>
          <w:szCs w:val="22"/>
        </w:rPr>
        <w:t xml:space="preserve"> </w:t>
      </w:r>
    </w:p>
    <w:p w:rsidR="004906E3" w:rsidRPr="00F37460" w:rsidRDefault="004906E3" w:rsidP="004906E3">
      <w:pPr>
        <w:pStyle w:val="1"/>
        <w:numPr>
          <w:ilvl w:val="0"/>
          <w:numId w:val="5"/>
        </w:numPr>
        <w:shd w:val="clear" w:color="auto" w:fill="FFFFFF"/>
        <w:tabs>
          <w:tab w:val="num" w:pos="0"/>
        </w:tabs>
        <w:spacing w:before="62"/>
        <w:ind w:left="0" w:firstLine="0"/>
        <w:contextualSpacing/>
        <w:jc w:val="both"/>
        <w:rPr>
          <w:sz w:val="22"/>
          <w:szCs w:val="22"/>
        </w:rPr>
      </w:pPr>
      <w:r w:rsidRPr="00F37460">
        <w:rPr>
          <w:spacing w:val="7"/>
          <w:sz w:val="22"/>
          <w:szCs w:val="22"/>
        </w:rPr>
        <w:t xml:space="preserve">разрешение на открытие представительства нерезидента либо иные документы, </w:t>
      </w:r>
      <w:r w:rsidRPr="00F37460">
        <w:rPr>
          <w:sz w:val="22"/>
          <w:szCs w:val="22"/>
        </w:rPr>
        <w:t>свидетельствующие об аккредитации представительства нерезидента в Российской Федерации (</w:t>
      </w:r>
      <w:r w:rsidRPr="00F37460">
        <w:rPr>
          <w:spacing w:val="2"/>
          <w:sz w:val="22"/>
          <w:szCs w:val="22"/>
        </w:rPr>
        <w:t xml:space="preserve">выписка из сводного государственного реестра аккредитованных на территории Российской </w:t>
      </w:r>
      <w:r w:rsidRPr="00F37460">
        <w:rPr>
          <w:spacing w:val="-1"/>
          <w:sz w:val="22"/>
          <w:szCs w:val="22"/>
        </w:rPr>
        <w:t>Федерации представительств иностранных компаний)</w:t>
      </w:r>
    </w:p>
    <w:p w:rsidR="004906E3" w:rsidRPr="00F37460" w:rsidRDefault="004906E3" w:rsidP="004906E3">
      <w:pPr>
        <w:pStyle w:val="a3"/>
        <w:ind w:firstLine="0"/>
        <w:rPr>
          <w:sz w:val="22"/>
          <w:szCs w:val="22"/>
        </w:rPr>
      </w:pPr>
    </w:p>
    <w:p w:rsidR="004906E3" w:rsidRPr="00F37460" w:rsidRDefault="004906E3" w:rsidP="004906E3">
      <w:pPr>
        <w:jc w:val="both"/>
        <w:rPr>
          <w:i/>
          <w:sz w:val="22"/>
          <w:szCs w:val="22"/>
        </w:rPr>
      </w:pPr>
      <w:r w:rsidRPr="00F37460">
        <w:rPr>
          <w:i/>
          <w:sz w:val="22"/>
          <w:szCs w:val="22"/>
        </w:rPr>
        <w:t xml:space="preserve">Примечание: </w:t>
      </w:r>
      <w:proofErr w:type="gramStart"/>
      <w:r w:rsidRPr="00F37460">
        <w:rPr>
          <w:i/>
          <w:sz w:val="22"/>
          <w:szCs w:val="22"/>
        </w:rPr>
        <w:t xml:space="preserve">Документы, представленные в Банк для открытия счета юридическим лицам, созданным в соответствии с законодательством иностранного государства и имеющим местонахождение за пределами территории Российской Федерации, выданные за границей РФ, должны быть легализованы в установленном законодательством РФ порядке. </w:t>
      </w:r>
      <w:proofErr w:type="gramEnd"/>
    </w:p>
    <w:p w:rsidR="004906E3" w:rsidRPr="00F37460" w:rsidRDefault="004906E3" w:rsidP="004906E3">
      <w:pPr>
        <w:pStyle w:val="a5"/>
        <w:jc w:val="both"/>
        <w:rPr>
          <w:i/>
          <w:sz w:val="22"/>
          <w:szCs w:val="22"/>
        </w:rPr>
      </w:pPr>
      <w:r w:rsidRPr="00F37460">
        <w:rPr>
          <w:i/>
          <w:sz w:val="22"/>
          <w:szCs w:val="22"/>
        </w:rPr>
        <w:t xml:space="preserve">Документы могут быть легализованы упрощенным порядком, т.е. посредством проставления </w:t>
      </w:r>
      <w:proofErr w:type="spellStart"/>
      <w:r w:rsidRPr="00F37460">
        <w:rPr>
          <w:i/>
          <w:sz w:val="22"/>
          <w:szCs w:val="22"/>
        </w:rPr>
        <w:t>апостиля</w:t>
      </w:r>
      <w:proofErr w:type="spellEnd"/>
      <w:r w:rsidRPr="00F37460">
        <w:rPr>
          <w:i/>
          <w:sz w:val="22"/>
          <w:szCs w:val="22"/>
        </w:rPr>
        <w:t xml:space="preserve"> нотариусом либо другим полномочным согласно законодательству страны местонахождения нерезидента должностным лицом; (если данное государство участвует в Гаагской Конвенции, отменяющей требования легализации иностранных официальных документов 1961года). </w:t>
      </w:r>
      <w:proofErr w:type="gramStart"/>
      <w:r w:rsidRPr="00F37460">
        <w:rPr>
          <w:i/>
          <w:sz w:val="22"/>
          <w:szCs w:val="22"/>
        </w:rPr>
        <w:t xml:space="preserve">В силу порядка, установленного рядом международных договоров России о правовой помощи, Банк вправе принимать иностранные официальные документы без консульской легализации и </w:t>
      </w:r>
      <w:proofErr w:type="spellStart"/>
      <w:r w:rsidRPr="00F37460">
        <w:rPr>
          <w:i/>
          <w:sz w:val="22"/>
          <w:szCs w:val="22"/>
        </w:rPr>
        <w:t>апостилирования</w:t>
      </w:r>
      <w:proofErr w:type="spellEnd"/>
      <w:r w:rsidRPr="00F37460">
        <w:rPr>
          <w:i/>
          <w:sz w:val="22"/>
          <w:szCs w:val="22"/>
        </w:rPr>
        <w:t xml:space="preserve"> из Азербайджана, Армении, Албании, Аргентины, Алжира, Египта, Белоруссии, Болгарии, Венгрии, Вьетнама, Греции, Грузии, Ирака, Ирана, Испании, Италии, Йемена, Индии, Казахстана, Кипра, Китая, КНДР, Кубы, Киргизии, Латвии, Литвы, Мали, Молдавии, Монголии, Польши, Румынии, Таджикистана, Туниса, Туркменистана, Турции, Украины, Узбекистана</w:t>
      </w:r>
      <w:proofErr w:type="gramEnd"/>
      <w:r w:rsidRPr="00F37460">
        <w:rPr>
          <w:i/>
          <w:sz w:val="22"/>
          <w:szCs w:val="22"/>
        </w:rPr>
        <w:t>, Финляндии, Чехии и Словакии, Эстонии, Югославии. Заверенный перевод на русский язык в любом случае обязателен. Данное условие распространяется на все документы Перечня.</w:t>
      </w: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  <w:r w:rsidRPr="00F37460">
        <w:rPr>
          <w:bCs/>
          <w:sz w:val="22"/>
          <w:szCs w:val="22"/>
        </w:rPr>
        <w:tab/>
        <w:t>В случае если Юридические лица-нерезиденты РФ, являются российскими налогоплательщиками, предоставляют (Клиент вправе предоставить не менее двух документов, которые могут подтвердить сведения о финансовом положении и деловой репутации):</w:t>
      </w:r>
    </w:p>
    <w:p w:rsidR="004906E3" w:rsidRPr="00F37460" w:rsidRDefault="004906E3" w:rsidP="004906E3">
      <w:pPr>
        <w:jc w:val="both"/>
        <w:rPr>
          <w:sz w:val="22"/>
          <w:szCs w:val="22"/>
        </w:rPr>
      </w:pPr>
      <w:proofErr w:type="gramStart"/>
      <w:r w:rsidRPr="00F37460">
        <w:rPr>
          <w:bCs/>
          <w:sz w:val="22"/>
          <w:szCs w:val="22"/>
        </w:rPr>
        <w:t>-</w:t>
      </w:r>
      <w:r w:rsidRPr="00F37460">
        <w:rPr>
          <w:sz w:val="22"/>
          <w:szCs w:val="22"/>
        </w:rPr>
        <w:t xml:space="preserve">Сведения (документы) о финансовом положении (копии годовой бухгалтерской отчетности (бухгалтерский баланс, отчет о финансовом результате), </w:t>
      </w:r>
      <w:proofErr w:type="gramEnd"/>
    </w:p>
    <w:p w:rsidR="004906E3" w:rsidRPr="00F37460" w:rsidRDefault="004906E3" w:rsidP="004906E3">
      <w:pPr>
        <w:jc w:val="both"/>
        <w:rPr>
          <w:sz w:val="22"/>
          <w:szCs w:val="22"/>
        </w:rPr>
      </w:pPr>
      <w:r w:rsidRPr="00F37460">
        <w:rPr>
          <w:sz w:val="22"/>
          <w:szCs w:val="22"/>
        </w:rPr>
        <w:t xml:space="preserve"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</w:t>
      </w:r>
    </w:p>
    <w:p w:rsidR="004906E3" w:rsidRPr="00F37460" w:rsidRDefault="004906E3" w:rsidP="004906E3">
      <w:pPr>
        <w:jc w:val="both"/>
        <w:rPr>
          <w:sz w:val="22"/>
          <w:szCs w:val="22"/>
        </w:rPr>
      </w:pPr>
      <w:r w:rsidRPr="00F37460">
        <w:rPr>
          <w:sz w:val="22"/>
          <w:szCs w:val="22"/>
        </w:rPr>
        <w:lastRenderedPageBreak/>
        <w:t xml:space="preserve">-копии подтверждения отправки на бумажных носителях (при 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4906E3" w:rsidRPr="00F37460" w:rsidRDefault="004906E3" w:rsidP="004906E3">
      <w:pPr>
        <w:jc w:val="both"/>
        <w:rPr>
          <w:sz w:val="22"/>
          <w:szCs w:val="22"/>
        </w:rPr>
      </w:pPr>
      <w:r w:rsidRPr="00F37460">
        <w:rPr>
          <w:sz w:val="22"/>
          <w:szCs w:val="22"/>
        </w:rPr>
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  <w:proofErr w:type="gramStart"/>
      <w:r w:rsidRPr="00F37460">
        <w:rPr>
          <w:sz w:val="22"/>
          <w:szCs w:val="22"/>
        </w:rPr>
        <w:t>-с</w:t>
      </w:r>
      <w:proofErr w:type="gramEnd"/>
      <w:r w:rsidRPr="00F37460">
        <w:rPr>
          <w:sz w:val="22"/>
          <w:szCs w:val="22"/>
        </w:rPr>
        <w:t xml:space="preserve"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</w:t>
      </w:r>
    </w:p>
    <w:p w:rsidR="004906E3" w:rsidRPr="00F37460" w:rsidRDefault="004906E3" w:rsidP="004906E3">
      <w:pPr>
        <w:jc w:val="both"/>
        <w:rPr>
          <w:sz w:val="22"/>
          <w:szCs w:val="22"/>
        </w:rPr>
      </w:pPr>
      <w:r w:rsidRPr="00F37460">
        <w:rPr>
          <w:sz w:val="22"/>
          <w:szCs w:val="22"/>
        </w:rPr>
        <w:t>-данные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F37460">
        <w:rPr>
          <w:sz w:val="22"/>
          <w:szCs w:val="22"/>
        </w:rPr>
        <w:t>Standard</w:t>
      </w:r>
      <w:proofErr w:type="spellEnd"/>
      <w:r w:rsidRPr="00F37460">
        <w:rPr>
          <w:sz w:val="22"/>
          <w:szCs w:val="22"/>
        </w:rPr>
        <w:t xml:space="preserve"> &amp; </w:t>
      </w:r>
      <w:proofErr w:type="spellStart"/>
      <w:r w:rsidRPr="00F37460">
        <w:rPr>
          <w:sz w:val="22"/>
          <w:szCs w:val="22"/>
        </w:rPr>
        <w:t>Poor's</w:t>
      </w:r>
      <w:proofErr w:type="spellEnd"/>
      <w:r w:rsidRPr="00F37460">
        <w:rPr>
          <w:sz w:val="22"/>
          <w:szCs w:val="22"/>
        </w:rPr>
        <w:t>", "</w:t>
      </w:r>
      <w:proofErr w:type="spellStart"/>
      <w:r w:rsidRPr="00F37460">
        <w:rPr>
          <w:sz w:val="22"/>
          <w:szCs w:val="22"/>
        </w:rPr>
        <w:t>Fitch-Ratings</w:t>
      </w:r>
      <w:proofErr w:type="spellEnd"/>
      <w:r w:rsidRPr="00F37460">
        <w:rPr>
          <w:sz w:val="22"/>
          <w:szCs w:val="22"/>
        </w:rPr>
        <w:t>", "</w:t>
      </w:r>
      <w:proofErr w:type="spellStart"/>
      <w:r w:rsidRPr="00F37460">
        <w:rPr>
          <w:sz w:val="22"/>
          <w:szCs w:val="22"/>
        </w:rPr>
        <w:t>Moody's</w:t>
      </w:r>
      <w:proofErr w:type="spellEnd"/>
      <w:r w:rsidRPr="00F37460">
        <w:rPr>
          <w:sz w:val="22"/>
          <w:szCs w:val="22"/>
        </w:rPr>
        <w:t xml:space="preserve"> </w:t>
      </w:r>
      <w:proofErr w:type="spellStart"/>
      <w:r w:rsidRPr="00F37460">
        <w:rPr>
          <w:sz w:val="22"/>
          <w:szCs w:val="22"/>
        </w:rPr>
        <w:t>Investors</w:t>
      </w:r>
      <w:proofErr w:type="spellEnd"/>
      <w:r w:rsidRPr="00F37460">
        <w:rPr>
          <w:sz w:val="22"/>
          <w:szCs w:val="22"/>
        </w:rPr>
        <w:t xml:space="preserve"> </w:t>
      </w:r>
      <w:proofErr w:type="spellStart"/>
      <w:r w:rsidRPr="00F37460">
        <w:rPr>
          <w:sz w:val="22"/>
          <w:szCs w:val="22"/>
        </w:rPr>
        <w:t>Service</w:t>
      </w:r>
      <w:proofErr w:type="spellEnd"/>
      <w:r w:rsidRPr="00F37460">
        <w:rPr>
          <w:sz w:val="22"/>
          <w:szCs w:val="22"/>
        </w:rPr>
        <w:t xml:space="preserve">" и другие) и национальных рейтинговых агентств). </w:t>
      </w: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  <w:proofErr w:type="gramStart"/>
      <w:r w:rsidRPr="00F37460">
        <w:rPr>
          <w:bCs/>
          <w:sz w:val="22"/>
          <w:szCs w:val="22"/>
        </w:rPr>
        <w:t>Юридические лица-нерезиденты РФ, не являющиеся российскими налогоплательщиками дополнительно предоставляют</w:t>
      </w:r>
      <w:proofErr w:type="gramEnd"/>
      <w:r w:rsidRPr="00F37460">
        <w:rPr>
          <w:bCs/>
          <w:sz w:val="22"/>
          <w:szCs w:val="22"/>
        </w:rPr>
        <w:t xml:space="preserve"> (Клиент вправе предоставить не менее двух документов, которые могут подтвердить сведения о финансовом положении и деловой репутации)</w:t>
      </w: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  <w:r w:rsidRPr="00F37460">
        <w:rPr>
          <w:bCs/>
          <w:sz w:val="22"/>
          <w:szCs w:val="22"/>
        </w:rPr>
        <w:t>-Копия аудиторской (при отсутстви</w:t>
      </w:r>
      <w:proofErr w:type="gramStart"/>
      <w:r w:rsidRPr="00F37460">
        <w:rPr>
          <w:bCs/>
          <w:sz w:val="22"/>
          <w:szCs w:val="22"/>
        </w:rPr>
        <w:t>и-</w:t>
      </w:r>
      <w:proofErr w:type="gramEnd"/>
      <w:r w:rsidRPr="00F37460">
        <w:rPr>
          <w:bCs/>
          <w:sz w:val="22"/>
          <w:szCs w:val="22"/>
        </w:rPr>
        <w:t xml:space="preserve"> управленческой) годовой финансовой отчетности.</w:t>
      </w: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  <w:r w:rsidRPr="00F37460">
        <w:rPr>
          <w:bCs/>
          <w:sz w:val="22"/>
          <w:szCs w:val="22"/>
        </w:rPr>
        <w:t>-Сведения об основных контрагентах, объемах и характере операций, которые предполагается проводить с использованием банковского счета, открываемого в банке.</w:t>
      </w:r>
    </w:p>
    <w:p w:rsidR="004906E3" w:rsidRDefault="004906E3" w:rsidP="004906E3">
      <w:pPr>
        <w:jc w:val="both"/>
        <w:rPr>
          <w:b/>
          <w:sz w:val="22"/>
          <w:szCs w:val="22"/>
        </w:rPr>
      </w:pPr>
      <w:r w:rsidRPr="00F37460">
        <w:rPr>
          <w:bCs/>
          <w:sz w:val="22"/>
          <w:szCs w:val="22"/>
        </w:rPr>
        <w:t>- Письмо с подтверждением отсутствия обязанности предоставлять по месту регистрации или деятельности финансовой отчетности компетентным государственным органам и копии внутренних документов Клиента в целях финансово-хозяйственного учета.</w:t>
      </w:r>
      <w:r w:rsidRPr="00F37460">
        <w:rPr>
          <w:rStyle w:val="a7"/>
          <w:b/>
          <w:sz w:val="22"/>
          <w:szCs w:val="22"/>
        </w:rPr>
        <w:t xml:space="preserve"> </w:t>
      </w:r>
      <w:r w:rsidRPr="00F37460">
        <w:rPr>
          <w:rStyle w:val="a7"/>
          <w:sz w:val="22"/>
          <w:szCs w:val="22"/>
        </w:rPr>
        <w:footnoteReference w:id="3"/>
      </w:r>
    </w:p>
    <w:p w:rsidR="004906E3" w:rsidRDefault="004906E3" w:rsidP="004906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F37460">
        <w:rPr>
          <w:sz w:val="22"/>
          <w:szCs w:val="22"/>
        </w:rPr>
        <w:t>рекомендательные письма, составленные</w:t>
      </w:r>
      <w:r w:rsidRPr="00F37460">
        <w:rPr>
          <w:bCs/>
          <w:sz w:val="22"/>
          <w:szCs w:val="22"/>
        </w:rPr>
        <w:t xml:space="preserve"> </w:t>
      </w:r>
      <w:r w:rsidRPr="00F37460">
        <w:rPr>
          <w:sz w:val="22"/>
          <w:szCs w:val="22"/>
        </w:rPr>
        <w:t xml:space="preserve">в произвольной форме, российских или иностранных кредитных организаций, с которыми у Клиента имеются гражданско-правовые отношения, вытекающие из договора банковского счета. </w:t>
      </w:r>
      <w:proofErr w:type="gramStart"/>
      <w:r w:rsidRPr="00F37460">
        <w:rPr>
          <w:sz w:val="22"/>
          <w:szCs w:val="22"/>
        </w:rPr>
        <w:t>Для вновь созданных юридических лиц-нерезидентов рекомендательные письма предоставляются учредителями;</w:t>
      </w:r>
      <w:proofErr w:type="gramEnd"/>
    </w:p>
    <w:p w:rsidR="004906E3" w:rsidRPr="00F37460" w:rsidRDefault="004906E3" w:rsidP="004906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460">
        <w:rPr>
          <w:sz w:val="22"/>
          <w:szCs w:val="22"/>
        </w:rPr>
        <w:t>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F37460">
        <w:rPr>
          <w:sz w:val="22"/>
          <w:szCs w:val="22"/>
        </w:rPr>
        <w:t>Standard</w:t>
      </w:r>
      <w:proofErr w:type="spellEnd"/>
      <w:r w:rsidRPr="00F37460">
        <w:rPr>
          <w:sz w:val="22"/>
          <w:szCs w:val="22"/>
        </w:rPr>
        <w:t xml:space="preserve"> &amp; </w:t>
      </w:r>
      <w:proofErr w:type="spellStart"/>
      <w:r w:rsidRPr="00F37460">
        <w:rPr>
          <w:sz w:val="22"/>
          <w:szCs w:val="22"/>
        </w:rPr>
        <w:t>Poor's</w:t>
      </w:r>
      <w:proofErr w:type="spellEnd"/>
      <w:r w:rsidRPr="00F37460">
        <w:rPr>
          <w:sz w:val="22"/>
          <w:szCs w:val="22"/>
        </w:rPr>
        <w:t>", "</w:t>
      </w:r>
      <w:proofErr w:type="spellStart"/>
      <w:r w:rsidRPr="00F37460">
        <w:rPr>
          <w:sz w:val="22"/>
          <w:szCs w:val="22"/>
        </w:rPr>
        <w:t>Fitch-Ratings</w:t>
      </w:r>
      <w:proofErr w:type="spellEnd"/>
      <w:r w:rsidRPr="00F37460">
        <w:rPr>
          <w:sz w:val="22"/>
          <w:szCs w:val="22"/>
        </w:rPr>
        <w:t>", "</w:t>
      </w:r>
      <w:proofErr w:type="spellStart"/>
      <w:r w:rsidRPr="00F37460">
        <w:rPr>
          <w:sz w:val="22"/>
          <w:szCs w:val="22"/>
        </w:rPr>
        <w:t>Moody's</w:t>
      </w:r>
      <w:proofErr w:type="spellEnd"/>
      <w:r w:rsidRPr="00F37460">
        <w:rPr>
          <w:sz w:val="22"/>
          <w:szCs w:val="22"/>
        </w:rPr>
        <w:t xml:space="preserve"> </w:t>
      </w:r>
      <w:proofErr w:type="spellStart"/>
      <w:r w:rsidRPr="00F37460">
        <w:rPr>
          <w:sz w:val="22"/>
          <w:szCs w:val="22"/>
        </w:rPr>
        <w:t>Investors</w:t>
      </w:r>
      <w:proofErr w:type="spellEnd"/>
      <w:r w:rsidRPr="00F37460">
        <w:rPr>
          <w:sz w:val="22"/>
          <w:szCs w:val="22"/>
        </w:rPr>
        <w:t xml:space="preserve"> </w:t>
      </w:r>
      <w:proofErr w:type="spellStart"/>
      <w:r w:rsidRPr="00F37460">
        <w:rPr>
          <w:sz w:val="22"/>
          <w:szCs w:val="22"/>
        </w:rPr>
        <w:t>Service</w:t>
      </w:r>
      <w:proofErr w:type="spellEnd"/>
      <w:r w:rsidRPr="00F37460">
        <w:rPr>
          <w:sz w:val="22"/>
          <w:szCs w:val="22"/>
        </w:rPr>
        <w:t>" и другие) и национальных рейтинговых агентств).</w:t>
      </w:r>
    </w:p>
    <w:p w:rsidR="004906E3" w:rsidRPr="00F37460" w:rsidRDefault="004906E3" w:rsidP="004906E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F37460">
        <w:rPr>
          <w:sz w:val="22"/>
          <w:szCs w:val="22"/>
        </w:rPr>
        <w:t xml:space="preserve"> Банк может дополнительно запросить документы в соответствии с Письмом ЦБ РФ от 30.10.2007 г. № 170-Т «Об особенностях принятия на банковское обслуживание юридических лиц – нерезидентов, не являющихся российскими налогоплательщиками».  </w:t>
      </w:r>
    </w:p>
    <w:p w:rsidR="004906E3" w:rsidRPr="00F37460" w:rsidRDefault="004906E3" w:rsidP="004906E3">
      <w:pPr>
        <w:ind w:firstLine="567"/>
        <w:jc w:val="both"/>
        <w:rPr>
          <w:sz w:val="22"/>
          <w:szCs w:val="22"/>
        </w:rPr>
      </w:pPr>
      <w:r w:rsidRPr="00F37460">
        <w:rPr>
          <w:sz w:val="22"/>
          <w:szCs w:val="22"/>
        </w:rPr>
        <w:t>При открытии доверительному управляющему счетов для расчетов по деятельности, связанной с доверительным управлением (счетов доверительного управления), в Банк предоставляются:</w:t>
      </w:r>
    </w:p>
    <w:p w:rsidR="004906E3" w:rsidRPr="00F37460" w:rsidRDefault="004906E3" w:rsidP="004906E3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r w:rsidRPr="00F37460">
        <w:rPr>
          <w:iCs/>
          <w:sz w:val="22"/>
          <w:szCs w:val="22"/>
        </w:rPr>
        <w:t>документы на Управляющую организацию. В случае если Управляющая организация является юридическим лицом – нерезидентом РФ, то представляются документы в соответствии Перечнем документов для юридических лиц – нерезидентов РФ;</w:t>
      </w:r>
    </w:p>
    <w:p w:rsidR="004906E3" w:rsidRPr="00F37460" w:rsidRDefault="004906E3" w:rsidP="004906E3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r w:rsidRPr="00F37460">
        <w:rPr>
          <w:iCs/>
          <w:sz w:val="22"/>
          <w:szCs w:val="22"/>
        </w:rPr>
        <w:t>документы в соответствии с настоящим Перечнем на Управляемую организацию;</w:t>
      </w:r>
    </w:p>
    <w:p w:rsidR="004906E3" w:rsidRPr="00F37460" w:rsidRDefault="004906E3" w:rsidP="004906E3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proofErr w:type="gramStart"/>
      <w:r w:rsidRPr="00F37460">
        <w:rPr>
          <w:iCs/>
          <w:sz w:val="22"/>
          <w:szCs w:val="22"/>
        </w:rPr>
        <w:t>документ, удостоверяющий личность физического лица (паспорт</w:t>
      </w:r>
      <w:r w:rsidRPr="00F37460">
        <w:rPr>
          <w:sz w:val="22"/>
          <w:szCs w:val="22"/>
        </w:rPr>
        <w:t xml:space="preserve"> или иные документы, признаваемые в соответствии с законодательством РФ документами, удостоверяющими личность</w:t>
      </w:r>
      <w:r w:rsidRPr="00F37460">
        <w:rPr>
          <w:iCs/>
          <w:sz w:val="22"/>
          <w:szCs w:val="22"/>
        </w:rPr>
        <w:t xml:space="preserve">), </w:t>
      </w:r>
      <w:r w:rsidRPr="00F37460">
        <w:rPr>
          <w:i/>
          <w:iCs/>
          <w:sz w:val="22"/>
          <w:szCs w:val="22"/>
        </w:rPr>
        <w:t xml:space="preserve">в случае исполнения функций доверительного управления физическим лицом, </w:t>
      </w:r>
      <w:r w:rsidRPr="00F37460">
        <w:rPr>
          <w:iCs/>
          <w:sz w:val="22"/>
          <w:szCs w:val="22"/>
        </w:rPr>
        <w:t xml:space="preserve">и согласие на обработку персональных данных, </w:t>
      </w:r>
      <w:r w:rsidRPr="00F37460">
        <w:rPr>
          <w:sz w:val="22"/>
          <w:szCs w:val="22"/>
        </w:rPr>
        <w:t>оформленное в соответствии с Правилами, в случае заключения договора представителем, согласие заполняется, как в отношении доверителя, так и в отношении представителя, по форме Банка;</w:t>
      </w:r>
      <w:proofErr w:type="gramEnd"/>
    </w:p>
    <w:p w:rsidR="004906E3" w:rsidRPr="00F37460" w:rsidRDefault="004906E3" w:rsidP="004906E3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proofErr w:type="gramStart"/>
      <w:r w:rsidRPr="00F37460">
        <w:rPr>
          <w:iCs/>
          <w:sz w:val="22"/>
          <w:szCs w:val="22"/>
        </w:rPr>
        <w:t xml:space="preserve">свидетельство о государственной регистрации в качестве индивидуального предпринимателя, свидетельство о постановке на учет в налоговом органе, </w:t>
      </w:r>
      <w:r w:rsidRPr="00F37460">
        <w:rPr>
          <w:i/>
          <w:iCs/>
          <w:sz w:val="22"/>
          <w:szCs w:val="22"/>
        </w:rPr>
        <w:t xml:space="preserve">в случае исполнения функций доверительного управления физическим лицом, зарегистрированным в качестве индивидуального предпринимателя, </w:t>
      </w:r>
      <w:r w:rsidRPr="00F37460">
        <w:rPr>
          <w:iCs/>
          <w:sz w:val="22"/>
          <w:szCs w:val="22"/>
        </w:rPr>
        <w:t xml:space="preserve">а также согласие на обработку персональных данных, </w:t>
      </w:r>
      <w:r w:rsidRPr="00F37460">
        <w:rPr>
          <w:iCs/>
          <w:sz w:val="22"/>
          <w:szCs w:val="22"/>
        </w:rPr>
        <w:lastRenderedPageBreak/>
        <w:t>оформленное по форме Банка</w:t>
      </w:r>
      <w:r w:rsidRPr="00F37460">
        <w:rPr>
          <w:sz w:val="22"/>
          <w:szCs w:val="22"/>
        </w:rPr>
        <w:t>, в случае заключения договора представителем, согласие заполняется, как в отношении доверителя, так и в отношении представителя</w:t>
      </w:r>
      <w:r w:rsidRPr="00F37460">
        <w:rPr>
          <w:iCs/>
          <w:sz w:val="22"/>
          <w:szCs w:val="22"/>
        </w:rPr>
        <w:t>;</w:t>
      </w:r>
      <w:proofErr w:type="gramEnd"/>
    </w:p>
    <w:p w:rsidR="004906E3" w:rsidRPr="00F37460" w:rsidRDefault="004906E3" w:rsidP="004906E3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r w:rsidRPr="00F37460">
        <w:rPr>
          <w:iCs/>
          <w:sz w:val="22"/>
          <w:szCs w:val="22"/>
        </w:rPr>
        <w:t>договор, на основании которого осуществляется доверительное управление.</w:t>
      </w:r>
    </w:p>
    <w:p w:rsidR="004906E3" w:rsidRPr="00F37460" w:rsidRDefault="004906E3" w:rsidP="004906E3">
      <w:pPr>
        <w:jc w:val="both"/>
        <w:rPr>
          <w:sz w:val="22"/>
          <w:szCs w:val="22"/>
        </w:rPr>
      </w:pP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  <w:r w:rsidRPr="00F37460">
        <w:rPr>
          <w:bCs/>
          <w:sz w:val="22"/>
          <w:szCs w:val="22"/>
        </w:rPr>
        <w:t>При наличии Счета Клиента, открытого Банке, для открытия иных банковских счетов необходимо дополнительно представить следующие документы: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z w:val="22"/>
          <w:szCs w:val="22"/>
        </w:rPr>
      </w:pPr>
      <w:r w:rsidRPr="00F37460">
        <w:rPr>
          <w:sz w:val="22"/>
          <w:szCs w:val="22"/>
        </w:rPr>
        <w:t>Заявление на открытие банковского счета (по форме, утвержденной Банком);</w:t>
      </w:r>
    </w:p>
    <w:p w:rsidR="004906E3" w:rsidRPr="00F37460" w:rsidRDefault="004906E3" w:rsidP="004906E3">
      <w:pPr>
        <w:pStyle w:val="a3"/>
        <w:numPr>
          <w:ilvl w:val="0"/>
          <w:numId w:val="4"/>
        </w:numPr>
        <w:tabs>
          <w:tab w:val="num" w:pos="0"/>
        </w:tabs>
        <w:ind w:left="0" w:firstLine="0"/>
        <w:rPr>
          <w:snapToGrid w:val="0"/>
          <w:sz w:val="22"/>
          <w:szCs w:val="22"/>
        </w:rPr>
      </w:pPr>
      <w:r w:rsidRPr="00F37460">
        <w:rPr>
          <w:sz w:val="22"/>
          <w:szCs w:val="22"/>
        </w:rPr>
        <w:t>Подписанный Клиентом договор банковского счета с Банком в 2 (двух) экземплярах (по форме, утвержденной Банком).</w:t>
      </w: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  <w:r w:rsidRPr="00F37460">
        <w:rPr>
          <w:bCs/>
          <w:sz w:val="22"/>
          <w:szCs w:val="22"/>
        </w:rPr>
        <w:t>При заключении дополнительного соглашения к Договору (неснижаемый остаток) дополнительно предоставляется:</w:t>
      </w:r>
    </w:p>
    <w:p w:rsidR="004906E3" w:rsidRPr="00F37460" w:rsidRDefault="004906E3" w:rsidP="004906E3">
      <w:pPr>
        <w:jc w:val="both"/>
        <w:rPr>
          <w:bCs/>
          <w:sz w:val="22"/>
          <w:szCs w:val="22"/>
        </w:rPr>
      </w:pPr>
      <w:r w:rsidRPr="00F37460">
        <w:rPr>
          <w:iCs/>
          <w:sz w:val="22"/>
          <w:szCs w:val="22"/>
        </w:rPr>
        <w:t>- документы, подтверждающие постоянное местонахождение получателя дохода в иностранном государстве.</w:t>
      </w:r>
    </w:p>
    <w:p w:rsidR="004906E3" w:rsidRPr="00F37460" w:rsidRDefault="004906E3" w:rsidP="004906E3">
      <w:pPr>
        <w:ind w:firstLine="567"/>
        <w:jc w:val="both"/>
        <w:rPr>
          <w:i/>
          <w:iCs/>
          <w:sz w:val="22"/>
          <w:szCs w:val="22"/>
        </w:rPr>
      </w:pPr>
      <w:r w:rsidRPr="00F37460">
        <w:rPr>
          <w:i/>
          <w:iCs/>
          <w:sz w:val="22"/>
          <w:szCs w:val="22"/>
        </w:rPr>
        <w:t xml:space="preserve">Примечание: Для применения при исчислении налога на доходы иностранных организаций от источников в РФ положений международных договоров (соглашений, конвенций) РФ, регулирующих вопросы налогообложения, Клиент - юридическое лицо – нерезидент РФ, представляет до даты выплаты </w:t>
      </w:r>
      <w:proofErr w:type="gramStart"/>
      <w:r w:rsidRPr="00F37460">
        <w:rPr>
          <w:i/>
          <w:iCs/>
          <w:sz w:val="22"/>
          <w:szCs w:val="22"/>
        </w:rPr>
        <w:t>процентов</w:t>
      </w:r>
      <w:proofErr w:type="gramEnd"/>
      <w:r w:rsidRPr="00F37460">
        <w:rPr>
          <w:i/>
          <w:iCs/>
          <w:sz w:val="22"/>
          <w:szCs w:val="22"/>
        </w:rPr>
        <w:t xml:space="preserve"> по Дополнительному соглашению оформленные в соответствии с требованием Налогового кодекса РФ документы, подтверждающие постоянное местонахождение получателя дохода  в иностранном государстве.</w:t>
      </w:r>
    </w:p>
    <w:p w:rsidR="004906E3" w:rsidRPr="00F37460" w:rsidRDefault="004906E3" w:rsidP="004906E3">
      <w:pPr>
        <w:ind w:firstLine="567"/>
        <w:jc w:val="both"/>
        <w:rPr>
          <w:sz w:val="22"/>
          <w:szCs w:val="22"/>
        </w:rPr>
      </w:pPr>
      <w:r w:rsidRPr="00F37460">
        <w:rPr>
          <w:i/>
          <w:iCs/>
          <w:sz w:val="22"/>
          <w:szCs w:val="22"/>
        </w:rPr>
        <w:t>В качестве  таких документов могут применяться справки по форме, установленной внутренним законодательством этого иностранного государства, а также справки в произвольной форме. Указанные справки рассматриваются как подтверждающие постоянное местопребывание иностранной организации в случае, если в них содержится следующая или аналогичная по смыслу формулировка:</w:t>
      </w:r>
    </w:p>
    <w:p w:rsidR="004906E3" w:rsidRPr="00F37460" w:rsidRDefault="004906E3" w:rsidP="004906E3">
      <w:pPr>
        <w:ind w:firstLine="567"/>
        <w:jc w:val="both"/>
        <w:rPr>
          <w:sz w:val="22"/>
          <w:szCs w:val="22"/>
        </w:rPr>
      </w:pPr>
      <w:r w:rsidRPr="00F37460">
        <w:rPr>
          <w:i/>
          <w:iCs/>
          <w:sz w:val="22"/>
          <w:szCs w:val="22"/>
        </w:rPr>
        <w:t>«Подтверждается, что компания (наименование компании) является (являлась) в течение (указать период) лицом с постоянным местопребыванием в (указать государство) в смысле Соглашения об избежание двойного налогообложения между СССР/Российской Федерацией и  (указать государство)».</w:t>
      </w:r>
    </w:p>
    <w:p w:rsidR="004906E3" w:rsidRPr="00F37460" w:rsidRDefault="004906E3" w:rsidP="004906E3">
      <w:pPr>
        <w:ind w:firstLine="567"/>
        <w:jc w:val="both"/>
        <w:rPr>
          <w:i/>
          <w:iCs/>
          <w:sz w:val="22"/>
          <w:szCs w:val="22"/>
        </w:rPr>
      </w:pPr>
      <w:r w:rsidRPr="00F37460">
        <w:rPr>
          <w:i/>
          <w:iCs/>
          <w:sz w:val="22"/>
          <w:szCs w:val="22"/>
        </w:rPr>
        <w:t xml:space="preserve">Документы, подтверждающие местопребывание иностранных организаций, подлежат легализации либо должен быть проставлен </w:t>
      </w:r>
      <w:proofErr w:type="spellStart"/>
      <w:r w:rsidRPr="00F37460">
        <w:rPr>
          <w:i/>
          <w:iCs/>
          <w:sz w:val="22"/>
          <w:szCs w:val="22"/>
        </w:rPr>
        <w:t>апостиль</w:t>
      </w:r>
      <w:proofErr w:type="spellEnd"/>
      <w:r w:rsidRPr="00F37460">
        <w:rPr>
          <w:i/>
          <w:iCs/>
          <w:sz w:val="22"/>
          <w:szCs w:val="22"/>
        </w:rPr>
        <w:t xml:space="preserve"> на самом документе или на отдельном листе, скрепляемом с документом в установленном порядке, за исключением случаев, предусмотренных международными договорами РФ.</w:t>
      </w:r>
    </w:p>
    <w:p w:rsidR="004906E3" w:rsidRPr="00F37460" w:rsidRDefault="004906E3" w:rsidP="004906E3">
      <w:pPr>
        <w:ind w:firstLine="567"/>
        <w:jc w:val="both"/>
        <w:rPr>
          <w:i/>
          <w:iCs/>
          <w:sz w:val="22"/>
          <w:szCs w:val="22"/>
        </w:rPr>
      </w:pPr>
      <w:r w:rsidRPr="00F37460">
        <w:rPr>
          <w:i/>
          <w:iCs/>
          <w:sz w:val="22"/>
          <w:szCs w:val="22"/>
        </w:rPr>
        <w:t>В случае если данное подтверждение составлено на иностранном языке, Банку предоставляется  нотариально заверенный  перевод на русский язык.</w:t>
      </w:r>
    </w:p>
    <w:p w:rsidR="004906E3" w:rsidRPr="00F37460" w:rsidRDefault="004906E3" w:rsidP="004906E3">
      <w:pPr>
        <w:ind w:firstLine="567"/>
        <w:jc w:val="both"/>
        <w:rPr>
          <w:i/>
          <w:iCs/>
          <w:sz w:val="22"/>
          <w:szCs w:val="22"/>
        </w:rPr>
      </w:pPr>
      <w:r w:rsidRPr="00F37460">
        <w:rPr>
          <w:i/>
          <w:iCs/>
          <w:sz w:val="22"/>
          <w:szCs w:val="22"/>
        </w:rPr>
        <w:t>В случае если в документе указан период, в отношении которого подтверждается постоянное местопребывание иностранной организации в иностранном государстве, то действие такого документа распространяется на этот указанный период. В случае</w:t>
      </w:r>
      <w:r w:rsidRPr="00F37460">
        <w:rPr>
          <w:sz w:val="22"/>
          <w:szCs w:val="22"/>
        </w:rPr>
        <w:t xml:space="preserve"> </w:t>
      </w:r>
      <w:r w:rsidRPr="00F37460">
        <w:rPr>
          <w:i/>
          <w:iCs/>
          <w:sz w:val="22"/>
          <w:szCs w:val="22"/>
        </w:rPr>
        <w:t xml:space="preserve">если период не указан, подтверждение действует в течение года (12 месяцев) </w:t>
      </w:r>
      <w:proofErr w:type="gramStart"/>
      <w:r w:rsidRPr="00F37460">
        <w:rPr>
          <w:i/>
          <w:iCs/>
          <w:sz w:val="22"/>
          <w:szCs w:val="22"/>
        </w:rPr>
        <w:t>с даты выдачи</w:t>
      </w:r>
      <w:proofErr w:type="gramEnd"/>
      <w:r w:rsidRPr="00F37460">
        <w:rPr>
          <w:i/>
          <w:iCs/>
          <w:sz w:val="22"/>
          <w:szCs w:val="22"/>
        </w:rPr>
        <w:t xml:space="preserve"> такого документа.</w:t>
      </w:r>
    </w:p>
    <w:p w:rsidR="004906E3" w:rsidRPr="00F37460" w:rsidRDefault="004906E3" w:rsidP="004906E3">
      <w:pPr>
        <w:ind w:firstLine="567"/>
        <w:jc w:val="both"/>
        <w:rPr>
          <w:i/>
          <w:iCs/>
          <w:sz w:val="22"/>
          <w:szCs w:val="22"/>
        </w:rPr>
      </w:pPr>
      <w:proofErr w:type="gramStart"/>
      <w:r w:rsidRPr="00F37460">
        <w:rPr>
          <w:i/>
          <w:iCs/>
          <w:sz w:val="22"/>
          <w:szCs w:val="22"/>
        </w:rPr>
        <w:t>В случае если Клиент - юридическое лицо - нерезидент РФ осуществляет деятельность в РФ через постоянное представительство и доход в виде процентов по Дополнительному соглашению относится к деятельности такого постоянного представительства, то удержание налога на доходы иностранных организаций от источников в РФ не производится, если в распоряжении Банка имеется нотариально заверенная копия свидетельства о постановке на учет в налоговых органах РФ, оформленная</w:t>
      </w:r>
      <w:proofErr w:type="gramEnd"/>
      <w:r w:rsidRPr="00F37460">
        <w:rPr>
          <w:i/>
          <w:iCs/>
          <w:sz w:val="22"/>
          <w:szCs w:val="22"/>
        </w:rPr>
        <w:t xml:space="preserve"> не ранее, чем в предыдущем году.</w:t>
      </w:r>
    </w:p>
    <w:p w:rsidR="004906E3" w:rsidRPr="00F37460" w:rsidRDefault="004906E3" w:rsidP="004906E3">
      <w:pPr>
        <w:ind w:firstLine="567"/>
        <w:jc w:val="both"/>
        <w:rPr>
          <w:sz w:val="22"/>
          <w:szCs w:val="22"/>
        </w:rPr>
      </w:pPr>
      <w:r w:rsidRPr="00F37460">
        <w:rPr>
          <w:i/>
          <w:iCs/>
          <w:sz w:val="22"/>
          <w:szCs w:val="22"/>
        </w:rPr>
        <w:t>В случае непредставления в срок указанных документов Банк при выплате процентов по Дополнительному соглашению Клиенту - юридическому лицу - нерезиденту РФ удерживает налог на доходы иностранных организаций от источников в РФ по ставкам, предусмотренным российским налоговым законодательством.</w:t>
      </w:r>
    </w:p>
    <w:p w:rsidR="004906E3" w:rsidRPr="00F37460" w:rsidRDefault="004906E3" w:rsidP="004906E3">
      <w:pPr>
        <w:ind w:firstLine="567"/>
        <w:jc w:val="both"/>
        <w:rPr>
          <w:i/>
          <w:iCs/>
          <w:sz w:val="22"/>
          <w:szCs w:val="22"/>
        </w:rPr>
      </w:pPr>
      <w:r w:rsidRPr="00F37460">
        <w:rPr>
          <w:bCs/>
          <w:i/>
          <w:sz w:val="22"/>
          <w:szCs w:val="22"/>
        </w:rPr>
        <w:t>Перечень государств, юридическим лицам которых в соответствии с соглашениями, заключенными между национальными Банками и Банком России, для открытия счетов на территории РФ требуются соответствующие разрешения (подлежит применению при условии учета последующих изменений и дополнений в указанные Соглашения, а также с учетом вновь заключенных соглашений)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2"/>
        <w:gridCol w:w="5799"/>
      </w:tblGrid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i/>
                <w:szCs w:val="24"/>
              </w:rPr>
            </w:pPr>
            <w:r w:rsidRPr="00F37460">
              <w:rPr>
                <w:i/>
                <w:szCs w:val="24"/>
              </w:rPr>
              <w:t>Государство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i/>
                <w:szCs w:val="24"/>
              </w:rPr>
            </w:pPr>
            <w:r w:rsidRPr="00F37460">
              <w:rPr>
                <w:i/>
                <w:szCs w:val="24"/>
              </w:rPr>
              <w:t>Необходимость наличия разрешения как основания для открытия счетов юридическим лицам – нерезидентам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lastRenderedPageBreak/>
              <w:t>Армения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Центрального банка Армении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Беларусь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Разрешение Банка Беларуси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Вьетнам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Государственного Банка Вьетнама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Грузия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Национального Банка Грузии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Казахстан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Национального банка Республики Казахстан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Литва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банка Литвы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Молдова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Национального банка Молдовы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Таджикистан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Национального банка Таджикистана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Туркменистан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Государственного Центрального банка Туркменистана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Украина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Индивидуальная лицензия Банка Украины </w:t>
            </w:r>
          </w:p>
        </w:tc>
      </w:tr>
      <w:tr w:rsidR="004906E3" w:rsidRPr="00F37460" w:rsidTr="005C3C16">
        <w:tc>
          <w:tcPr>
            <w:tcW w:w="4077" w:type="dxa"/>
          </w:tcPr>
          <w:p w:rsidR="004906E3" w:rsidRPr="00F37460" w:rsidRDefault="004906E3" w:rsidP="005C3C16">
            <w:pPr>
              <w:pStyle w:val="a3"/>
              <w:ind w:firstLine="567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>Узбекистан</w:t>
            </w:r>
          </w:p>
        </w:tc>
        <w:tc>
          <w:tcPr>
            <w:tcW w:w="6344" w:type="dxa"/>
          </w:tcPr>
          <w:p w:rsidR="004906E3" w:rsidRPr="00F37460" w:rsidRDefault="004906E3" w:rsidP="005C3C16">
            <w:pPr>
              <w:pStyle w:val="a3"/>
              <w:ind w:firstLine="0"/>
              <w:jc w:val="left"/>
              <w:rPr>
                <w:bCs/>
                <w:i/>
                <w:szCs w:val="24"/>
              </w:rPr>
            </w:pPr>
            <w:r w:rsidRPr="00F37460">
              <w:rPr>
                <w:bCs/>
                <w:i/>
                <w:szCs w:val="24"/>
              </w:rPr>
              <w:t xml:space="preserve">Разрешение Центрального банка Республики Узбекистан </w:t>
            </w:r>
          </w:p>
        </w:tc>
      </w:tr>
    </w:tbl>
    <w:p w:rsidR="004906E3" w:rsidRPr="00F37460" w:rsidRDefault="004906E3" w:rsidP="004906E3">
      <w:pPr>
        <w:rPr>
          <w:sz w:val="24"/>
          <w:szCs w:val="24"/>
        </w:rPr>
      </w:pPr>
    </w:p>
    <w:p w:rsidR="00E50136" w:rsidRPr="004906E3" w:rsidRDefault="00E50136" w:rsidP="004906E3">
      <w:pPr>
        <w:rPr>
          <w:sz w:val="24"/>
          <w:szCs w:val="24"/>
        </w:rPr>
      </w:pPr>
    </w:p>
    <w:sectPr w:rsidR="00E50136" w:rsidRPr="004906E3" w:rsidSect="00CA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36" w:rsidRDefault="00E50136" w:rsidP="00E50136">
      <w:r>
        <w:separator/>
      </w:r>
    </w:p>
  </w:endnote>
  <w:endnote w:type="continuationSeparator" w:id="0">
    <w:p w:rsidR="00E50136" w:rsidRDefault="00E50136" w:rsidP="00E5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36" w:rsidRDefault="00E50136" w:rsidP="00E50136">
      <w:r>
        <w:separator/>
      </w:r>
    </w:p>
  </w:footnote>
  <w:footnote w:type="continuationSeparator" w:id="0">
    <w:p w:rsidR="00E50136" w:rsidRDefault="00E50136" w:rsidP="00E50136">
      <w:r>
        <w:continuationSeparator/>
      </w:r>
    </w:p>
  </w:footnote>
  <w:footnote w:id="1">
    <w:p w:rsidR="004906E3" w:rsidRPr="00347EE3" w:rsidRDefault="004906E3" w:rsidP="004906E3">
      <w:pPr>
        <w:ind w:firstLine="567"/>
        <w:jc w:val="both"/>
        <w:rPr>
          <w:sz w:val="18"/>
          <w:szCs w:val="18"/>
        </w:rPr>
      </w:pPr>
      <w:r>
        <w:rPr>
          <w:rStyle w:val="a7"/>
        </w:rPr>
        <w:footnoteRef/>
      </w:r>
      <w:r w:rsidRPr="00BB37DE">
        <w:t xml:space="preserve"> </w:t>
      </w:r>
      <w:r w:rsidRPr="00347EE3">
        <w:rPr>
          <w:sz w:val="18"/>
          <w:szCs w:val="18"/>
        </w:rPr>
        <w:t>В Банк могут быть представлены копии документов, заверенные Клиентом - юридическим лицом</w:t>
      </w:r>
      <w:r w:rsidRPr="00347EE3">
        <w:rPr>
          <w:i/>
          <w:sz w:val="18"/>
          <w:szCs w:val="18"/>
        </w:rPr>
        <w:t xml:space="preserve">, </w:t>
      </w:r>
      <w:r w:rsidRPr="00347EE3">
        <w:rPr>
          <w:sz w:val="18"/>
          <w:szCs w:val="18"/>
        </w:rPr>
        <w:t xml:space="preserve">при условии установления Банком их соответствия оригиналам документов. Копии документов, заверенные Клиентом, состоящие более чем из одного листа, должны быть прошиты, а листы пронумерованы. На месте сшива должно быть указано количество пронумерованных и прошитых листов (прописью); проставлена дата, фамилия, имя, отчество (при наличии), наименование должности лица, заверившего копию документа, а также его собственноручная подпись и оттиск печати (при ее отсутствии - штампа) Клиента. </w:t>
      </w:r>
    </w:p>
    <w:p w:rsidR="004906E3" w:rsidRPr="00347EE3" w:rsidRDefault="004906E3" w:rsidP="004906E3">
      <w:pPr>
        <w:ind w:firstLine="567"/>
        <w:jc w:val="both"/>
        <w:rPr>
          <w:sz w:val="18"/>
          <w:szCs w:val="18"/>
        </w:rPr>
      </w:pPr>
      <w:r w:rsidRPr="00347EE3">
        <w:rPr>
          <w:sz w:val="18"/>
          <w:szCs w:val="18"/>
        </w:rPr>
        <w:t>Сотрудник Банка может изготовить и заверить копии документов, предоставленных Клиентом.</w:t>
      </w:r>
    </w:p>
    <w:p w:rsidR="004906E3" w:rsidRPr="00347EE3" w:rsidRDefault="004906E3" w:rsidP="004906E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7EE3">
        <w:rPr>
          <w:sz w:val="18"/>
          <w:szCs w:val="18"/>
        </w:rPr>
        <w:t>Клиентом может представляться заверенная выписка из внутренних документов, образующихся в его деятельности, либо заверенная выписка из документов, имеющих непосредственное отношение к деятельности Клиента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4906E3" w:rsidRPr="00347EE3" w:rsidRDefault="004906E3" w:rsidP="004906E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347EE3">
        <w:rPr>
          <w:sz w:val="18"/>
          <w:szCs w:val="18"/>
        </w:rPr>
        <w:t>Выписка из внутренних документов, образующихся в деятельности Клиента, может быть заверена в порядке, установленном законодательством Российской Федерации, либо заверена Клиентом, с указанием фамилии, имени, отчества (при наличии), наименования должности лица, заверившего выписку, а также с проставлением его собственноручной подписи и оттиска печати (при ее отсутствии - штампа) Клиента.</w:t>
      </w:r>
      <w:proofErr w:type="gramEnd"/>
    </w:p>
    <w:p w:rsidR="004906E3" w:rsidRPr="00347EE3" w:rsidRDefault="004906E3" w:rsidP="004906E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7EE3">
        <w:rPr>
          <w:sz w:val="18"/>
          <w:szCs w:val="18"/>
        </w:rPr>
        <w:t xml:space="preserve">Выписка из документов, имеющих непосредственное отношение к деятельности Клиента и образующихся в деятельности юридических лиц (органов власти), в ведении которых находится (которым </w:t>
      </w:r>
      <w:proofErr w:type="gramStart"/>
      <w:r w:rsidRPr="00347EE3">
        <w:rPr>
          <w:sz w:val="18"/>
          <w:szCs w:val="18"/>
        </w:rPr>
        <w:t xml:space="preserve">подведомственен) </w:t>
      </w:r>
      <w:proofErr w:type="gramEnd"/>
      <w:r w:rsidRPr="00347EE3">
        <w:rPr>
          <w:sz w:val="18"/>
          <w:szCs w:val="18"/>
        </w:rPr>
        <w:t xml:space="preserve">Клиент, может быть заверена в порядке, установленном законодательством Российской Федерации, либо заверена юридическим лицом (органом власти), в ведении которых находится (которым подведомственен) Клиент, с указанием фамилии, имени, отчества (при наличии), наименования должности лица, заверившего выписку, а также с проставлением его собственноручной подписи и оттиска печати (при ее отсутствии - штампа) юридического лица (органа власти), если иной порядок </w:t>
      </w:r>
      <w:proofErr w:type="gramStart"/>
      <w:r w:rsidRPr="00347EE3">
        <w:rPr>
          <w:sz w:val="18"/>
          <w:szCs w:val="18"/>
        </w:rPr>
        <w:t>заверения выписки</w:t>
      </w:r>
      <w:proofErr w:type="gramEnd"/>
      <w:r w:rsidRPr="00347EE3">
        <w:rPr>
          <w:sz w:val="18"/>
          <w:szCs w:val="18"/>
        </w:rPr>
        <w:t xml:space="preserve"> из документов не определен соответствующим юридическим лицом (органом власти).</w:t>
      </w:r>
    </w:p>
    <w:p w:rsidR="004906E3" w:rsidRPr="00347EE3" w:rsidRDefault="004906E3" w:rsidP="004906E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</w:footnote>
  <w:footnote w:id="2">
    <w:p w:rsidR="004906E3" w:rsidRPr="00347EE3" w:rsidRDefault="004906E3" w:rsidP="004906E3">
      <w:pPr>
        <w:pStyle w:val="a5"/>
        <w:jc w:val="both"/>
        <w:rPr>
          <w:sz w:val="18"/>
          <w:szCs w:val="18"/>
        </w:rPr>
      </w:pPr>
      <w:r w:rsidRPr="00347EE3">
        <w:rPr>
          <w:rStyle w:val="a7"/>
          <w:sz w:val="18"/>
          <w:szCs w:val="18"/>
        </w:rPr>
        <w:footnoteRef/>
      </w:r>
      <w:r w:rsidRPr="00347EE3">
        <w:rPr>
          <w:sz w:val="18"/>
          <w:szCs w:val="18"/>
        </w:rPr>
        <w:t xml:space="preserve"> Банк вправе  запросить так же для идентификации  документы удостоверяющие личность </w:t>
      </w:r>
      <w:proofErr w:type="spellStart"/>
      <w:r w:rsidRPr="00347EE3">
        <w:rPr>
          <w:sz w:val="18"/>
          <w:szCs w:val="18"/>
        </w:rPr>
        <w:t>выгодоприобретателей</w:t>
      </w:r>
      <w:proofErr w:type="spellEnd"/>
      <w:r w:rsidRPr="00347EE3">
        <w:rPr>
          <w:sz w:val="18"/>
          <w:szCs w:val="18"/>
        </w:rPr>
        <w:t xml:space="preserve"> и </w:t>
      </w:r>
      <w:proofErr w:type="spellStart"/>
      <w:r w:rsidRPr="00347EE3">
        <w:rPr>
          <w:sz w:val="18"/>
          <w:szCs w:val="18"/>
        </w:rPr>
        <w:t>бенефициарных</w:t>
      </w:r>
      <w:proofErr w:type="spellEnd"/>
      <w:r w:rsidRPr="00347EE3">
        <w:rPr>
          <w:sz w:val="18"/>
          <w:szCs w:val="18"/>
        </w:rPr>
        <w:t xml:space="preserve"> владельцев.</w:t>
      </w:r>
    </w:p>
    <w:p w:rsidR="004906E3" w:rsidRDefault="004906E3" w:rsidP="004906E3">
      <w:pPr>
        <w:pStyle w:val="a5"/>
        <w:jc w:val="both"/>
      </w:pPr>
    </w:p>
  </w:footnote>
  <w:footnote w:id="3">
    <w:p w:rsidR="004906E3" w:rsidRPr="00F84932" w:rsidRDefault="004906E3" w:rsidP="004906E3">
      <w:pPr>
        <w:ind w:firstLine="567"/>
        <w:jc w:val="both"/>
        <w:rPr>
          <w:sz w:val="18"/>
          <w:szCs w:val="18"/>
        </w:rPr>
      </w:pPr>
      <w:r w:rsidRPr="00F84932">
        <w:rPr>
          <w:rStyle w:val="a7"/>
          <w:sz w:val="18"/>
          <w:szCs w:val="18"/>
        </w:rPr>
        <w:footnoteRef/>
      </w:r>
      <w:r w:rsidRPr="00F84932">
        <w:rPr>
          <w:sz w:val="18"/>
          <w:szCs w:val="18"/>
        </w:rPr>
        <w:t xml:space="preserve"> Документы представляются, если законодательством страны, в которой создано Юридическое лицо–Нерезидент, не установлена обязанность предоставлять по месту его регистрации или деятельности финансовые отчеты компетентным (уполномоченным</w:t>
      </w:r>
      <w:r>
        <w:rPr>
          <w:sz w:val="18"/>
          <w:szCs w:val="18"/>
        </w:rPr>
        <w:t xml:space="preserve">) </w:t>
      </w:r>
      <w:r w:rsidRPr="00F84932">
        <w:rPr>
          <w:sz w:val="18"/>
          <w:szCs w:val="18"/>
        </w:rPr>
        <w:t>государственным учреждениям.</w:t>
      </w:r>
    </w:p>
    <w:p w:rsidR="004906E3" w:rsidRPr="00D66D5D" w:rsidRDefault="004906E3" w:rsidP="004906E3">
      <w:pPr>
        <w:ind w:firstLine="567"/>
        <w:jc w:val="both"/>
      </w:pPr>
    </w:p>
    <w:p w:rsidR="004906E3" w:rsidRDefault="004906E3" w:rsidP="004906E3">
      <w:pPr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E07"/>
    <w:multiLevelType w:val="hybridMultilevel"/>
    <w:tmpl w:val="B6A8CC20"/>
    <w:lvl w:ilvl="0" w:tplc="4D449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9E33010"/>
    <w:multiLevelType w:val="hybridMultilevel"/>
    <w:tmpl w:val="0B340C30"/>
    <w:lvl w:ilvl="0" w:tplc="4E04562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5547627"/>
    <w:multiLevelType w:val="hybridMultilevel"/>
    <w:tmpl w:val="359291A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652E7"/>
    <w:multiLevelType w:val="hybridMultilevel"/>
    <w:tmpl w:val="60C02402"/>
    <w:lvl w:ilvl="0" w:tplc="2F4E4B4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0E48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67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CA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E48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29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21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BC8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75843"/>
    <w:multiLevelType w:val="hybridMultilevel"/>
    <w:tmpl w:val="A4ACE918"/>
    <w:lvl w:ilvl="0" w:tplc="911A346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226A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4C6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E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6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7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01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66B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36"/>
    <w:rsid w:val="00034BA6"/>
    <w:rsid w:val="000A766F"/>
    <w:rsid w:val="000C60F0"/>
    <w:rsid w:val="002C45ED"/>
    <w:rsid w:val="004906E3"/>
    <w:rsid w:val="00785324"/>
    <w:rsid w:val="008B001C"/>
    <w:rsid w:val="009C374F"/>
    <w:rsid w:val="00CA1539"/>
    <w:rsid w:val="00CE2829"/>
    <w:rsid w:val="00E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013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50136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50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E50136"/>
  </w:style>
  <w:style w:type="character" w:customStyle="1" w:styleId="a6">
    <w:name w:val="Текст сноски Знак"/>
    <w:basedOn w:val="a0"/>
    <w:link w:val="a5"/>
    <w:semiHidden/>
    <w:rsid w:val="00E5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5013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E50136"/>
    <w:pPr>
      <w:ind w:left="708"/>
    </w:pPr>
  </w:style>
  <w:style w:type="paragraph" w:styleId="a8">
    <w:name w:val="List Paragraph"/>
    <w:basedOn w:val="a"/>
    <w:uiPriority w:val="34"/>
    <w:qFormat/>
    <w:rsid w:val="008B001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2120</Words>
  <Characters>12088</Characters>
  <Application>Microsoft Office Word</Application>
  <DocSecurity>0</DocSecurity>
  <Lines>100</Lines>
  <Paragraphs>28</Paragraphs>
  <ScaleCrop>false</ScaleCrop>
  <Company>pc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</dc:creator>
  <cp:keywords/>
  <dc:description/>
  <cp:lastModifiedBy>user-20</cp:lastModifiedBy>
  <cp:revision>6</cp:revision>
  <dcterms:created xsi:type="dcterms:W3CDTF">2015-05-05T10:42:00Z</dcterms:created>
  <dcterms:modified xsi:type="dcterms:W3CDTF">2015-12-09T12:09:00Z</dcterms:modified>
</cp:coreProperties>
</file>